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D51973" w14:textId="77777777" w:rsidR="007067AD" w:rsidRPr="00012608" w:rsidRDefault="007D1F5C" w:rsidP="007067AD">
      <w:pPr>
        <w:pStyle w:val="Title"/>
        <w:rPr>
          <w:color w:val="365F91" w:themeColor="accent1" w:themeShade="BF"/>
          <w:sz w:val="28"/>
          <w:szCs w:val="28"/>
        </w:rPr>
      </w:pPr>
      <w:r w:rsidRPr="00012608">
        <w:rPr>
          <w:color w:val="365F91" w:themeColor="accent1" w:themeShade="BF"/>
          <w:sz w:val="28"/>
          <w:szCs w:val="28"/>
        </w:rPr>
        <w:t>Carrier Accessorial Fee Data Entry and Tolerance Validation Rules</w:t>
      </w:r>
      <w:r w:rsidR="00AB4A7B" w:rsidRPr="00012608">
        <w:rPr>
          <w:color w:val="365F91" w:themeColor="accent1" w:themeShade="BF"/>
          <w:sz w:val="28"/>
          <w:szCs w:val="28"/>
        </w:rPr>
        <w:t xml:space="preserve"> v-8.0</w:t>
      </w:r>
    </w:p>
    <w:p w14:paraId="5FC76C1E" w14:textId="77777777" w:rsidR="007067AD" w:rsidRDefault="007067AD" w:rsidP="007067AD">
      <w:pPr>
        <w:pStyle w:val="Title"/>
        <w:rPr>
          <w:sz w:val="28"/>
          <w:szCs w:val="28"/>
        </w:rPr>
      </w:pPr>
    </w:p>
    <w:p w14:paraId="1CF67714" w14:textId="0289720F" w:rsidR="00AC7428" w:rsidRDefault="00AC7428" w:rsidP="007067AD">
      <w:pPr>
        <w:pStyle w:val="Title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Wat</w:t>
      </w:r>
      <w:r w:rsidR="00466127">
        <w:rPr>
          <w:rFonts w:asciiTheme="minorHAnsi" w:eastAsiaTheme="minorHAnsi" w:hAnsiTheme="minorHAnsi" w:cstheme="minorBidi"/>
          <w:color w:val="auto"/>
          <w:sz w:val="22"/>
          <w:szCs w:val="22"/>
        </w:rPr>
        <w:t>ch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a Video</w:t>
      </w:r>
      <w:r w:rsidR="00466127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!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>
        <w:object w:dxaOrig="1532" w:dyaOrig="993" w14:anchorId="01282E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7" o:title=""/>
          </v:shape>
          <o:OLEObject Type="Embed" ProgID="Package" ShapeID="_x0000_i1025" DrawAspect="Icon" ObjectID="_1670064545" r:id="rId8"/>
        </w:object>
      </w:r>
    </w:p>
    <w:p w14:paraId="6156415C" w14:textId="77777777" w:rsidR="00466127" w:rsidRDefault="00466127" w:rsidP="007067AD">
      <w:pPr>
        <w:pStyle w:val="Title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D6A3807" w14:textId="5B90E962" w:rsidR="002F6150" w:rsidRDefault="002F6150" w:rsidP="007067AD">
      <w:pPr>
        <w:pStyle w:val="Title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2F6150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The Carrier Accessorial Data Entry Fee Tolerance is used to determine when a fee can be auto-approved by the system.  Tolerance levels do not prevent carriers from entering fees above or below the configured range. </w:t>
      </w:r>
    </w:p>
    <w:p w14:paraId="6EF45861" w14:textId="77777777" w:rsidR="002F6150" w:rsidRDefault="002F6150" w:rsidP="002F6150">
      <w:pPr>
        <w:pStyle w:val="Heading1"/>
        <w:tabs>
          <w:tab w:val="left" w:pos="2910"/>
        </w:tabs>
      </w:pPr>
      <w:r>
        <w:t>Rules</w:t>
      </w:r>
    </w:p>
    <w:p w14:paraId="2EEF7A8C" w14:textId="77777777" w:rsidR="002F6150" w:rsidRDefault="002F6150" w:rsidP="002F6150">
      <w:pPr>
        <w:pStyle w:val="ListParagraph"/>
        <w:numPr>
          <w:ilvl w:val="0"/>
          <w:numId w:val="24"/>
        </w:numPr>
      </w:pPr>
      <w:r>
        <w:t>All carrier entered accessorial fees are flat rate charges.</w:t>
      </w:r>
    </w:p>
    <w:p w14:paraId="343D29B2" w14:textId="77777777" w:rsidR="002F6150" w:rsidRDefault="002F6150" w:rsidP="002F6150">
      <w:pPr>
        <w:pStyle w:val="ListParagraph"/>
        <w:numPr>
          <w:ilvl w:val="1"/>
          <w:numId w:val="24"/>
        </w:numPr>
      </w:pPr>
      <w:r>
        <w:t>Web Portal: carriers are asked to enter accessorial fees by order number.    In v-8.0 Carriers are asked to perform any allocation manually if fees are to be applied across multiple orders (like fuel).  In v-8.1 the allocation rules for EDI will also be available for Web Portal (see b).</w:t>
      </w:r>
    </w:p>
    <w:p w14:paraId="29756D87" w14:textId="77777777" w:rsidR="002F6150" w:rsidRDefault="002F6150" w:rsidP="002F6150">
      <w:pPr>
        <w:pStyle w:val="ListParagraph"/>
        <w:numPr>
          <w:ilvl w:val="1"/>
          <w:numId w:val="24"/>
        </w:numPr>
      </w:pPr>
      <w:r>
        <w:t>EDI:  Available in v-8.1.  Fees may be entered for Load, Order Number or Stop Number.    The TMS system will perform allocations as follows:</w:t>
      </w:r>
    </w:p>
    <w:p w14:paraId="18F7A20C" w14:textId="77777777" w:rsidR="002F6150" w:rsidRDefault="002F6150" w:rsidP="002F6150">
      <w:pPr>
        <w:pStyle w:val="ListParagraph"/>
        <w:numPr>
          <w:ilvl w:val="2"/>
          <w:numId w:val="24"/>
        </w:numPr>
      </w:pPr>
      <w:r>
        <w:t>If Order Number selected no allocation.</w:t>
      </w:r>
    </w:p>
    <w:p w14:paraId="6F105D34" w14:textId="77777777" w:rsidR="002F6150" w:rsidRDefault="002F6150" w:rsidP="002F6150">
      <w:pPr>
        <w:pStyle w:val="ListParagraph"/>
        <w:numPr>
          <w:ilvl w:val="2"/>
          <w:numId w:val="24"/>
        </w:numPr>
      </w:pPr>
      <w:r>
        <w:t>If Stop Number selected allocated by weight for each delivery address with the same stop number.</w:t>
      </w:r>
    </w:p>
    <w:p w14:paraId="61D49298" w14:textId="77777777" w:rsidR="002F6150" w:rsidRDefault="002F6150" w:rsidP="002F6150">
      <w:pPr>
        <w:pStyle w:val="ListParagraph"/>
        <w:numPr>
          <w:ilvl w:val="2"/>
          <w:numId w:val="24"/>
        </w:numPr>
      </w:pPr>
      <w:r>
        <w:t xml:space="preserve">If Load Allocation the selected fee will be allocated by weight across all orders. </w:t>
      </w:r>
    </w:p>
    <w:p w14:paraId="3308B10E" w14:textId="77777777" w:rsidR="002F6150" w:rsidRDefault="002F6150" w:rsidP="002F6150">
      <w:pPr>
        <w:pStyle w:val="ListParagraph"/>
        <w:numPr>
          <w:ilvl w:val="2"/>
          <w:numId w:val="24"/>
        </w:numPr>
      </w:pPr>
      <w:r>
        <w:t xml:space="preserve">Notes: </w:t>
      </w:r>
    </w:p>
    <w:p w14:paraId="6F7D25C6" w14:textId="77777777" w:rsidR="002F6150" w:rsidRDefault="002F6150" w:rsidP="002F6150">
      <w:pPr>
        <w:pStyle w:val="ListParagraph"/>
        <w:numPr>
          <w:ilvl w:val="3"/>
          <w:numId w:val="24"/>
        </w:numPr>
      </w:pPr>
      <w:r>
        <w:t>Load Allocation is the only way pickup fees may be applied to a load.</w:t>
      </w:r>
    </w:p>
    <w:p w14:paraId="2F1F05E8" w14:textId="77777777" w:rsidR="002F6150" w:rsidRDefault="002F6150" w:rsidP="002F6150">
      <w:pPr>
        <w:pStyle w:val="ListParagraph"/>
        <w:numPr>
          <w:ilvl w:val="3"/>
          <w:numId w:val="24"/>
        </w:numPr>
      </w:pPr>
      <w:r>
        <w:t>Multi-pick inbound fee allocation for pickup locations is not supported</w:t>
      </w:r>
    </w:p>
    <w:p w14:paraId="54325B30" w14:textId="77777777" w:rsidR="002F6150" w:rsidRDefault="002F6150" w:rsidP="002F6150">
      <w:pPr>
        <w:pStyle w:val="ListParagraph"/>
        <w:numPr>
          <w:ilvl w:val="3"/>
          <w:numId w:val="24"/>
        </w:numPr>
      </w:pPr>
      <w:r>
        <w:t>All pickup fees must be allocated for the load.</w:t>
      </w:r>
    </w:p>
    <w:p w14:paraId="2AE12C56" w14:textId="77777777" w:rsidR="002F6150" w:rsidRDefault="002F6150" w:rsidP="002F6150">
      <w:pPr>
        <w:pStyle w:val="ListParagraph"/>
        <w:numPr>
          <w:ilvl w:val="0"/>
          <w:numId w:val="24"/>
        </w:numPr>
      </w:pPr>
      <w:r>
        <w:t>Each Legal Entity has separate accessorial fee tolerance settings</w:t>
      </w:r>
    </w:p>
    <w:p w14:paraId="1B6EA84D" w14:textId="77777777" w:rsidR="002F6150" w:rsidRDefault="002F6150" w:rsidP="002F6150">
      <w:pPr>
        <w:pStyle w:val="ListParagraph"/>
        <w:numPr>
          <w:ilvl w:val="1"/>
          <w:numId w:val="24"/>
        </w:numPr>
      </w:pPr>
      <w:r>
        <w:t>Legal Entities are linked to TMS companies via the Legal Entity key on the company maintenance page.</w:t>
      </w:r>
    </w:p>
    <w:p w14:paraId="7F3B4944" w14:textId="77777777" w:rsidR="002F6150" w:rsidRDefault="002F6150" w:rsidP="002F6150">
      <w:pPr>
        <w:pStyle w:val="ListParagraph"/>
        <w:numPr>
          <w:ilvl w:val="1"/>
          <w:numId w:val="24"/>
        </w:numPr>
      </w:pPr>
      <w:r>
        <w:t>One company is assigned to each Legal Entity as the master company (or home office).        This is maintained via the new Legal Entity maintenance page in TMS 365.</w:t>
      </w:r>
    </w:p>
    <w:p w14:paraId="2076B7DB" w14:textId="77777777" w:rsidR="002F6150" w:rsidRDefault="002F6150" w:rsidP="002F6150">
      <w:pPr>
        <w:pStyle w:val="ListParagraph"/>
        <w:numPr>
          <w:ilvl w:val="0"/>
          <w:numId w:val="24"/>
        </w:numPr>
      </w:pPr>
      <w:r>
        <w:t>Accessorial Fee Tolerance Settings are maintained via the new Carrier Accessorial Fee Maintenance page in TMS 365.</w:t>
      </w:r>
    </w:p>
    <w:p w14:paraId="057813AB" w14:textId="77777777" w:rsidR="002F6150" w:rsidRDefault="002F6150" w:rsidP="002F6150">
      <w:pPr>
        <w:pStyle w:val="ListParagraph"/>
        <w:numPr>
          <w:ilvl w:val="0"/>
          <w:numId w:val="24"/>
        </w:numPr>
      </w:pPr>
      <w:r>
        <w:t>Each Fee for each Carrier has individual settings assigned to each Legal Entity.</w:t>
      </w:r>
    </w:p>
    <w:p w14:paraId="6A97490E" w14:textId="77777777" w:rsidR="002F6150" w:rsidRDefault="002F6150" w:rsidP="002F6150">
      <w:pPr>
        <w:pStyle w:val="ListParagraph"/>
        <w:numPr>
          <w:ilvl w:val="1"/>
          <w:numId w:val="24"/>
        </w:numPr>
      </w:pPr>
      <w:r>
        <w:t>Flat Rate Low Value: minimum dollar value allowed; typically zero.</w:t>
      </w:r>
    </w:p>
    <w:p w14:paraId="48DA984B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>Flat Rate High Value: maximum dollar value allowed.</w:t>
      </w:r>
    </w:p>
    <w:p w14:paraId="051158E8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 Expected Cost:  Previously call the Average Value.  The Expected Cost is only use</w:t>
      </w:r>
      <w:r w:rsidR="00126CA0">
        <w:t>d</w:t>
      </w:r>
      <w:r>
        <w:t xml:space="preserve"> by the </w:t>
      </w:r>
      <w:r w:rsidR="00126CA0">
        <w:t>percentage</w:t>
      </w:r>
      <w:r>
        <w:t xml:space="preserve"> tolerance calculations.</w:t>
      </w:r>
    </w:p>
    <w:p w14:paraId="058C5FBA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lastRenderedPageBreak/>
        <w:t>Lowest Percentage Factor:  based on a pre-determined Expected Cost.  The lowest percentage below the Expected Cost that is allowed</w:t>
      </w:r>
      <w:r w:rsidR="00126CA0">
        <w:t>, typically</w:t>
      </w:r>
      <w:r>
        <w:t xml:space="preserve"> this is 100% which will evaluate to </w:t>
      </w:r>
      <w:r w:rsidR="00126CA0">
        <w:t xml:space="preserve">a minimum cost of </w:t>
      </w:r>
      <w:r>
        <w:t>zero</w:t>
      </w:r>
      <w:r w:rsidR="00126CA0">
        <w:t xml:space="preserve"> dollars</w:t>
      </w:r>
      <w:r>
        <w:t>.</w:t>
      </w:r>
    </w:p>
    <w:p w14:paraId="754112D2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>Highest Percentage Factor: base on the Expected Cost,  The highest</w:t>
      </w:r>
      <w:r w:rsidR="00126CA0">
        <w:t xml:space="preserve"> percentage above the Expected C</w:t>
      </w:r>
      <w:r>
        <w:t>ost that is allowed.</w:t>
      </w:r>
    </w:p>
    <w:p w14:paraId="5C7C0197" w14:textId="77777777" w:rsidR="00126CA0" w:rsidRDefault="002F6150" w:rsidP="00126CA0">
      <w:pPr>
        <w:pStyle w:val="ListParagraph"/>
        <w:numPr>
          <w:ilvl w:val="0"/>
          <w:numId w:val="24"/>
        </w:numPr>
      </w:pPr>
      <w:r>
        <w:t>Calculation Rules:</w:t>
      </w:r>
    </w:p>
    <w:p w14:paraId="1C55EF13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If the Expected Cost is zero the </w:t>
      </w:r>
      <w:r w:rsidR="00126CA0">
        <w:t>system</w:t>
      </w:r>
      <w:r>
        <w:t xml:space="preserve"> will use the Flat R</w:t>
      </w:r>
      <w:r w:rsidR="00126CA0">
        <w:t>ate values to determine if the C</w:t>
      </w:r>
      <w:r>
        <w:t>ost falls inside the</w:t>
      </w:r>
      <w:r w:rsidR="00126CA0">
        <w:t xml:space="preserve"> Flat Rate T</w:t>
      </w:r>
      <w:r>
        <w:t>olerances.</w:t>
      </w:r>
    </w:p>
    <w:p w14:paraId="27C170FD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 If the Expected Cost is non-zero the system will use the Percentage Factors to determine if the </w:t>
      </w:r>
      <w:r w:rsidR="00126CA0">
        <w:t>Cost</w:t>
      </w:r>
      <w:r>
        <w:t xml:space="preserve"> falls inside the</w:t>
      </w:r>
      <w:r w:rsidR="00126CA0">
        <w:t xml:space="preserve"> Percentage T</w:t>
      </w:r>
      <w:r>
        <w:t>olerances.</w:t>
      </w:r>
    </w:p>
    <w:p w14:paraId="43185F85" w14:textId="77777777" w:rsidR="00126CA0" w:rsidRDefault="002F6150" w:rsidP="00126CA0">
      <w:pPr>
        <w:pStyle w:val="ListParagraph"/>
        <w:numPr>
          <w:ilvl w:val="0"/>
          <w:numId w:val="24"/>
        </w:numPr>
      </w:pPr>
      <w:r>
        <w:t xml:space="preserve">Flat Rate </w:t>
      </w:r>
      <w:r w:rsidR="00126CA0">
        <w:t>Formula</w:t>
      </w:r>
      <w:r>
        <w:t xml:space="preserve">: </w:t>
      </w:r>
    </w:p>
    <w:p w14:paraId="19154158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If Cost falls below the </w:t>
      </w:r>
      <w:r w:rsidRPr="00126CA0">
        <w:rPr>
          <w:i/>
        </w:rPr>
        <w:t>Flat Rate Low Value</w:t>
      </w:r>
      <w:r>
        <w:t xml:space="preserve"> the fee cannot be auto-approved.</w:t>
      </w:r>
    </w:p>
    <w:p w14:paraId="5F788025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If the Cost exceeds the </w:t>
      </w:r>
      <w:r w:rsidRPr="00126CA0">
        <w:rPr>
          <w:i/>
        </w:rPr>
        <w:t>Flat Rate High Value</w:t>
      </w:r>
      <w:r>
        <w:t xml:space="preserve"> the fee cannot be auto-approved.</w:t>
      </w:r>
    </w:p>
    <w:p w14:paraId="2CD8E79B" w14:textId="77777777" w:rsidR="00126CA0" w:rsidRDefault="002F6150" w:rsidP="00126CA0">
      <w:pPr>
        <w:pStyle w:val="ListParagraph"/>
        <w:numPr>
          <w:ilvl w:val="0"/>
          <w:numId w:val="24"/>
        </w:numPr>
      </w:pPr>
      <w:r>
        <w:t xml:space="preserve">Low Percentage Factor Formula: If the Cost falls below the </w:t>
      </w:r>
      <w:r w:rsidRPr="00126CA0">
        <w:rPr>
          <w:i/>
        </w:rPr>
        <w:t>Calculated Low Value</w:t>
      </w:r>
      <w:r>
        <w:t xml:space="preserve"> based on the </w:t>
      </w:r>
      <w:r w:rsidRPr="00126CA0">
        <w:rPr>
          <w:i/>
        </w:rPr>
        <w:t>Low Percentage Factor</w:t>
      </w:r>
      <w:r>
        <w:t xml:space="preserve"> the fee cannot be auto-approved.</w:t>
      </w:r>
    </w:p>
    <w:p w14:paraId="1839E8D2" w14:textId="77777777" w:rsidR="00126CA0" w:rsidRDefault="002F6150" w:rsidP="00126CA0">
      <w:pPr>
        <w:pStyle w:val="ListParagraph"/>
        <w:numPr>
          <w:ilvl w:val="1"/>
          <w:numId w:val="24"/>
        </w:numPr>
      </w:pPr>
      <w:r>
        <w:t xml:space="preserve">If </w:t>
      </w:r>
      <w:r w:rsidRPr="00126CA0">
        <w:rPr>
          <w:i/>
        </w:rPr>
        <w:t>Low Percentage Factor</w:t>
      </w:r>
      <w:r w:rsidR="00311D4C">
        <w:t xml:space="preserve"> is zero</w:t>
      </w:r>
      <w:r>
        <w:t xml:space="preserve"> the </w:t>
      </w:r>
      <w:r w:rsidRPr="00126CA0">
        <w:rPr>
          <w:i/>
        </w:rPr>
        <w:t>Calculated Low Value</w:t>
      </w:r>
      <w:r>
        <w:t xml:space="preserve"> is equal to the</w:t>
      </w:r>
      <w:r w:rsidR="00126CA0">
        <w:t xml:space="preserve"> </w:t>
      </w:r>
      <w:r w:rsidR="00126CA0" w:rsidRPr="00126CA0">
        <w:rPr>
          <w:i/>
        </w:rPr>
        <w:t>Expected Cost</w:t>
      </w:r>
      <w:r w:rsidR="00126CA0">
        <w:t xml:space="preserve">; </w:t>
      </w:r>
      <w:r>
        <w:t>the fee cann</w:t>
      </w:r>
      <w:r w:rsidR="00126CA0">
        <w:t xml:space="preserve">ot be auto-approved if it falls below the </w:t>
      </w:r>
      <w:r w:rsidR="00126CA0" w:rsidRPr="00126CA0">
        <w:rPr>
          <w:i/>
        </w:rPr>
        <w:t>Expected Cost</w:t>
      </w:r>
      <w:r>
        <w:t>.</w:t>
      </w:r>
    </w:p>
    <w:p w14:paraId="00A58D05" w14:textId="77777777" w:rsidR="00943425" w:rsidRDefault="00943425" w:rsidP="00943425">
      <w:pPr>
        <w:pStyle w:val="ListParagraph"/>
        <w:numPr>
          <w:ilvl w:val="1"/>
          <w:numId w:val="24"/>
        </w:numPr>
      </w:pPr>
      <w:r>
        <w:t xml:space="preserve">If </w:t>
      </w:r>
      <w:r w:rsidRPr="00126CA0">
        <w:rPr>
          <w:i/>
        </w:rPr>
        <w:t>Low Percentage Factor</w:t>
      </w:r>
      <w:r>
        <w:t xml:space="preserve"> is greater than zero</w:t>
      </w:r>
      <w:r w:rsidR="00126CA0">
        <w:t xml:space="preserve"> we apply the </w:t>
      </w:r>
      <w:r w:rsidR="00126CA0" w:rsidRPr="00126CA0">
        <w:rPr>
          <w:i/>
        </w:rPr>
        <w:t>Low Percentage Factor</w:t>
      </w:r>
      <w:r w:rsidR="00126CA0">
        <w:rPr>
          <w:i/>
        </w:rPr>
        <w:t xml:space="preserve"> </w:t>
      </w:r>
      <w:r w:rsidR="00126CA0" w:rsidRPr="00126CA0">
        <w:t>to the</w:t>
      </w:r>
      <w:r w:rsidR="00126CA0">
        <w:rPr>
          <w:i/>
        </w:rPr>
        <w:t xml:space="preserve"> Expected Cost: </w:t>
      </w:r>
      <w:r w:rsidR="00126CA0">
        <w:t xml:space="preserve"> where the </w:t>
      </w:r>
      <w:r w:rsidR="002F6150" w:rsidRPr="00126CA0">
        <w:rPr>
          <w:i/>
        </w:rPr>
        <w:t xml:space="preserve">Calculated Low </w:t>
      </w:r>
      <w:r w:rsidRPr="00126CA0">
        <w:rPr>
          <w:i/>
        </w:rPr>
        <w:t>Value</w:t>
      </w:r>
      <w:r>
        <w:t xml:space="preserve"> equals</w:t>
      </w:r>
      <w:r w:rsidR="00126CA0">
        <w:t xml:space="preserve"> the</w:t>
      </w:r>
      <w:r>
        <w:t xml:space="preserve"> difference between the</w:t>
      </w:r>
      <w:r w:rsidR="002F6150">
        <w:t xml:space="preserve"> </w:t>
      </w:r>
      <w:r w:rsidR="002F6150" w:rsidRPr="00126CA0">
        <w:rPr>
          <w:i/>
        </w:rPr>
        <w:t>Expected Cost</w:t>
      </w:r>
      <w:r w:rsidR="002F6150">
        <w:t xml:space="preserve"> </w:t>
      </w:r>
      <w:r>
        <w:t xml:space="preserve">and </w:t>
      </w:r>
      <w:r w:rsidR="00126CA0">
        <w:t xml:space="preserve">the product of the </w:t>
      </w:r>
      <w:r w:rsidR="002F6150" w:rsidRPr="00126CA0">
        <w:rPr>
          <w:i/>
        </w:rPr>
        <w:t>Expected Cost</w:t>
      </w:r>
      <w:r w:rsidR="002F6150">
        <w:t xml:space="preserve"> </w:t>
      </w:r>
      <w:r w:rsidR="00126CA0">
        <w:t xml:space="preserve">and </w:t>
      </w:r>
      <w:r w:rsidR="002F6150">
        <w:t xml:space="preserve">the </w:t>
      </w:r>
      <w:r w:rsidR="002F6150" w:rsidRPr="00126CA0">
        <w:rPr>
          <w:i/>
        </w:rPr>
        <w:t>Low Percentage Factor</w:t>
      </w:r>
      <w:r>
        <w:rPr>
          <w:i/>
        </w:rPr>
        <w:t>.</w:t>
      </w:r>
    </w:p>
    <w:p w14:paraId="6A1FAC4A" w14:textId="77777777" w:rsidR="00943425" w:rsidRDefault="002F6150" w:rsidP="00943425">
      <w:pPr>
        <w:pStyle w:val="ListParagraph"/>
        <w:numPr>
          <w:ilvl w:val="1"/>
          <w:numId w:val="24"/>
        </w:numPr>
      </w:pPr>
      <w:r>
        <w:t xml:space="preserve"> Example:  In this example the </w:t>
      </w:r>
      <w:r w:rsidRPr="00943425">
        <w:rPr>
          <w:i/>
        </w:rPr>
        <w:t>Lowest Cost Allowed</w:t>
      </w:r>
      <w:r>
        <w:t xml:space="preserve"> is $112.50</w:t>
      </w:r>
    </w:p>
    <w:p w14:paraId="5C218AEB" w14:textId="77777777" w:rsidR="00943425" w:rsidRDefault="002F6150" w:rsidP="00943425">
      <w:pPr>
        <w:pStyle w:val="ListParagraph"/>
        <w:numPr>
          <w:ilvl w:val="2"/>
          <w:numId w:val="24"/>
        </w:numPr>
      </w:pPr>
      <w:r>
        <w:t xml:space="preserve">Expected Cost = 150, Low Percentage Factor = 25%.  </w:t>
      </w:r>
    </w:p>
    <w:p w14:paraId="0DDB3E3A" w14:textId="77777777" w:rsidR="00943425" w:rsidRDefault="002F6150" w:rsidP="00943425">
      <w:pPr>
        <w:pStyle w:val="ListParagraph"/>
        <w:numPr>
          <w:ilvl w:val="2"/>
          <w:numId w:val="24"/>
        </w:numPr>
      </w:pPr>
      <w:r>
        <w:t xml:space="preserve">Calculated Low Value = 150 - (150 * 0.25) </w:t>
      </w:r>
    </w:p>
    <w:p w14:paraId="2EEEFD48" w14:textId="77777777" w:rsidR="00943425" w:rsidRDefault="002F6150" w:rsidP="00943425">
      <w:pPr>
        <w:pStyle w:val="ListParagraph"/>
        <w:numPr>
          <w:ilvl w:val="2"/>
          <w:numId w:val="24"/>
        </w:numPr>
      </w:pPr>
      <w:r>
        <w:t>or $112.50 = $150 - $37.50</w:t>
      </w:r>
    </w:p>
    <w:p w14:paraId="21776E34" w14:textId="77777777" w:rsidR="00943425" w:rsidRDefault="002F6150" w:rsidP="00943425">
      <w:pPr>
        <w:pStyle w:val="ListParagraph"/>
        <w:numPr>
          <w:ilvl w:val="0"/>
          <w:numId w:val="24"/>
        </w:numPr>
      </w:pPr>
      <w:r>
        <w:t xml:space="preserve">High Percentage Factor Formula:  If the Cost exceeds the </w:t>
      </w:r>
      <w:r w:rsidRPr="00943425">
        <w:rPr>
          <w:i/>
        </w:rPr>
        <w:t>Calculated High Value</w:t>
      </w:r>
      <w:r>
        <w:t xml:space="preserve"> based on the </w:t>
      </w:r>
      <w:r w:rsidRPr="00943425">
        <w:rPr>
          <w:i/>
        </w:rPr>
        <w:t>High Percentage Factor</w:t>
      </w:r>
      <w:r>
        <w:t xml:space="preserve"> the fee cannot be auto-approved.</w:t>
      </w:r>
    </w:p>
    <w:p w14:paraId="7DCB7975" w14:textId="77777777" w:rsidR="00943425" w:rsidRDefault="002F6150" w:rsidP="00943425">
      <w:pPr>
        <w:pStyle w:val="ListParagraph"/>
        <w:numPr>
          <w:ilvl w:val="1"/>
          <w:numId w:val="24"/>
        </w:numPr>
      </w:pPr>
      <w:r>
        <w:t xml:space="preserve">If the </w:t>
      </w:r>
      <w:r w:rsidRPr="00943425">
        <w:rPr>
          <w:i/>
        </w:rPr>
        <w:t>High Percentage Factor</w:t>
      </w:r>
      <w:r w:rsidR="00943425">
        <w:t xml:space="preserve"> equals zero </w:t>
      </w:r>
      <w:r>
        <w:t xml:space="preserve">the </w:t>
      </w:r>
      <w:r w:rsidRPr="00943425">
        <w:rPr>
          <w:i/>
        </w:rPr>
        <w:t>Calculated High Value</w:t>
      </w:r>
      <w:r>
        <w:t xml:space="preserve"> is equal to the </w:t>
      </w:r>
      <w:r w:rsidRPr="00943425">
        <w:rPr>
          <w:i/>
        </w:rPr>
        <w:t>Expected Cost</w:t>
      </w:r>
      <w:r w:rsidR="00943425">
        <w:rPr>
          <w:i/>
        </w:rPr>
        <w:t xml:space="preserve">; </w:t>
      </w:r>
      <w:r>
        <w:t>the fee cannot</w:t>
      </w:r>
      <w:r w:rsidR="00943425">
        <w:t xml:space="preserve"> be auto-approved if</w:t>
      </w:r>
      <w:r>
        <w:t xml:space="preserve"> </w:t>
      </w:r>
      <w:r w:rsidR="00943425">
        <w:t xml:space="preserve">it </w:t>
      </w:r>
      <w:r>
        <w:t>exceed</w:t>
      </w:r>
      <w:r w:rsidR="00943425">
        <w:t>s</w:t>
      </w:r>
      <w:r>
        <w:t xml:space="preserve"> the </w:t>
      </w:r>
      <w:r w:rsidRPr="00943425">
        <w:rPr>
          <w:i/>
        </w:rPr>
        <w:t>Expected Cost</w:t>
      </w:r>
      <w:r>
        <w:t>.</w:t>
      </w:r>
    </w:p>
    <w:p w14:paraId="01FF8308" w14:textId="77777777" w:rsidR="004E209A" w:rsidRDefault="00943425" w:rsidP="004E209A">
      <w:pPr>
        <w:pStyle w:val="ListParagraph"/>
        <w:numPr>
          <w:ilvl w:val="1"/>
          <w:numId w:val="24"/>
        </w:numPr>
      </w:pPr>
      <w:r>
        <w:t xml:space="preserve">If the </w:t>
      </w:r>
      <w:r w:rsidRPr="00943425">
        <w:rPr>
          <w:i/>
        </w:rPr>
        <w:t>High Percentage Factor</w:t>
      </w:r>
      <w:r>
        <w:t xml:space="preserve"> is greater than zero we apply the </w:t>
      </w:r>
      <w:r w:rsidRPr="00943425">
        <w:rPr>
          <w:i/>
        </w:rPr>
        <w:t>High Percentage Factor</w:t>
      </w:r>
      <w:r>
        <w:t xml:space="preserve"> to the </w:t>
      </w:r>
      <w:r w:rsidRPr="004E209A">
        <w:rPr>
          <w:i/>
        </w:rPr>
        <w:t>Expected Cost</w:t>
      </w:r>
      <w:r>
        <w:t xml:space="preserve">: where </w:t>
      </w:r>
      <w:r w:rsidR="002F6150">
        <w:t xml:space="preserve">the </w:t>
      </w:r>
      <w:r w:rsidR="002F6150" w:rsidRPr="00943425">
        <w:rPr>
          <w:i/>
        </w:rPr>
        <w:t>Calculated High Value</w:t>
      </w:r>
      <w:r w:rsidR="002F6150">
        <w:t xml:space="preserve"> </w:t>
      </w:r>
      <w:r>
        <w:t xml:space="preserve">equals the sum of the </w:t>
      </w:r>
      <w:r w:rsidR="002F6150" w:rsidRPr="00943425">
        <w:rPr>
          <w:i/>
        </w:rPr>
        <w:t>Expected Cost</w:t>
      </w:r>
      <w:r w:rsidR="002F6150">
        <w:t xml:space="preserve"> </w:t>
      </w:r>
      <w:r>
        <w:t xml:space="preserve">and the product of the </w:t>
      </w:r>
      <w:r w:rsidR="002F6150" w:rsidRPr="00943425">
        <w:rPr>
          <w:i/>
        </w:rPr>
        <w:t>Expected Cost</w:t>
      </w:r>
      <w:r w:rsidR="002F6150">
        <w:t xml:space="preserve"> </w:t>
      </w:r>
      <w:r>
        <w:t xml:space="preserve">and the </w:t>
      </w:r>
      <w:r w:rsidR="002F6150" w:rsidRPr="004E209A">
        <w:rPr>
          <w:i/>
        </w:rPr>
        <w:t>High Percentage Factor</w:t>
      </w:r>
      <w:r w:rsidR="004E209A">
        <w:t>.</w:t>
      </w:r>
    </w:p>
    <w:p w14:paraId="42527165" w14:textId="77777777" w:rsidR="004E209A" w:rsidRDefault="002F6150" w:rsidP="004E209A">
      <w:pPr>
        <w:pStyle w:val="ListParagraph"/>
        <w:numPr>
          <w:ilvl w:val="1"/>
          <w:numId w:val="24"/>
        </w:numPr>
      </w:pPr>
      <w:r>
        <w:t xml:space="preserve">Example:  In this example the </w:t>
      </w:r>
      <w:r w:rsidRPr="004E209A">
        <w:rPr>
          <w:i/>
        </w:rPr>
        <w:t>Highest Cost Allowed</w:t>
      </w:r>
      <w:r>
        <w:t xml:space="preserve"> is $187.50</w:t>
      </w:r>
    </w:p>
    <w:p w14:paraId="6FD4FEF7" w14:textId="77777777" w:rsidR="004E209A" w:rsidRDefault="002F6150" w:rsidP="004E209A">
      <w:pPr>
        <w:pStyle w:val="ListParagraph"/>
        <w:numPr>
          <w:ilvl w:val="2"/>
          <w:numId w:val="24"/>
        </w:numPr>
      </w:pPr>
      <w:r>
        <w:t xml:space="preserve">Expected Cost = 150, High Percentage Factor = 25%.  </w:t>
      </w:r>
    </w:p>
    <w:p w14:paraId="59464151" w14:textId="77777777" w:rsidR="004E209A" w:rsidRDefault="002F6150" w:rsidP="004E209A">
      <w:pPr>
        <w:pStyle w:val="ListParagraph"/>
        <w:numPr>
          <w:ilvl w:val="2"/>
          <w:numId w:val="24"/>
        </w:numPr>
      </w:pPr>
      <w:r>
        <w:t xml:space="preserve">Calculated High Value = 150 + (150 * 0.25) </w:t>
      </w:r>
    </w:p>
    <w:p w14:paraId="7744965E" w14:textId="77777777" w:rsidR="00A626D6" w:rsidRDefault="002F6150" w:rsidP="004E209A">
      <w:pPr>
        <w:pStyle w:val="ListParagraph"/>
        <w:numPr>
          <w:ilvl w:val="2"/>
          <w:numId w:val="24"/>
        </w:numPr>
      </w:pPr>
      <w:r>
        <w:t>or $187.50 = $150 + $37.50</w:t>
      </w:r>
    </w:p>
    <w:p w14:paraId="1D497B1A" w14:textId="77777777" w:rsidR="00A475FC" w:rsidRDefault="00A475FC" w:rsidP="00A475FC"/>
    <w:p w14:paraId="27045E1A" w14:textId="77777777" w:rsidR="00A475FC" w:rsidRDefault="00A475FC" w:rsidP="00A475FC"/>
    <w:p w14:paraId="6D9AD420" w14:textId="77777777" w:rsidR="00A475FC" w:rsidRDefault="00A475FC" w:rsidP="00A475FC"/>
    <w:p w14:paraId="67C8B0CE" w14:textId="77777777" w:rsidR="00A475FC" w:rsidRDefault="00A475FC" w:rsidP="00A475FC"/>
    <w:p w14:paraId="1933BF4E" w14:textId="77777777" w:rsidR="00A475FC" w:rsidRDefault="00A475FC" w:rsidP="00A475FC"/>
    <w:p w14:paraId="713EDF76" w14:textId="77777777" w:rsidR="00A475FC" w:rsidRDefault="00A475FC" w:rsidP="00A475FC">
      <w:r>
        <w:t>Examples</w:t>
      </w:r>
    </w:p>
    <w:p w14:paraId="140FA0B0" w14:textId="77777777" w:rsidR="00A475FC" w:rsidRDefault="009A752E" w:rsidP="00A475FC">
      <w:r>
        <w:rPr>
          <w:b/>
        </w:rPr>
        <w:t xml:space="preserve">1) </w:t>
      </w:r>
      <w:r w:rsidR="00A475FC">
        <w:rPr>
          <w:b/>
        </w:rPr>
        <w:t xml:space="preserve">Using </w:t>
      </w:r>
      <w:r w:rsidR="00A475FC" w:rsidRPr="00C975B2">
        <w:rPr>
          <w:b/>
        </w:rPr>
        <w:t xml:space="preserve">Flat Rate example: </w:t>
      </w:r>
      <w:r w:rsidR="00A475FC">
        <w:rPr>
          <w:b/>
        </w:rPr>
        <w:br/>
      </w:r>
      <w:r w:rsidR="00A475FC">
        <w:t>Enter in dollar low and high range. Low = $0</w:t>
      </w:r>
      <w:r w:rsidR="00A475FC">
        <w:tab/>
        <w:t>High = $195</w:t>
      </w:r>
    </w:p>
    <w:p w14:paraId="36944C4A" w14:textId="77777777" w:rsidR="00A475FC" w:rsidRDefault="00A475FC" w:rsidP="00A475FC">
      <w:r>
        <w:t>The fee entered by the carrier must fall between this range.</w:t>
      </w:r>
      <w:r w:rsidR="009A752E">
        <w:br/>
      </w:r>
      <w:r w:rsidRPr="00057A5B">
        <w:rPr>
          <w:i/>
        </w:rPr>
        <w:t xml:space="preserve">Percentage values and average value all must </w:t>
      </w:r>
      <w:r>
        <w:rPr>
          <w:i/>
        </w:rPr>
        <w:t>be zero and not being applied.</w:t>
      </w:r>
    </w:p>
    <w:p w14:paraId="723F903E" w14:textId="77777777" w:rsidR="00A475FC" w:rsidRDefault="00A475FC" w:rsidP="00A475FC">
      <w:r>
        <w:rPr>
          <w:noProof/>
        </w:rPr>
        <w:drawing>
          <wp:inline distT="0" distB="0" distL="0" distR="0" wp14:anchorId="4E931010" wp14:editId="7ADC1C9C">
            <wp:extent cx="3314700" cy="1067106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7611"/>
                    <a:stretch/>
                  </pic:blipFill>
                  <pic:spPr bwMode="auto">
                    <a:xfrm>
                      <a:off x="0" y="0"/>
                      <a:ext cx="3361705" cy="10822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9A752E">
        <w:rPr>
          <w:b/>
        </w:rPr>
        <w:br/>
        <w:t xml:space="preserve">2) </w:t>
      </w:r>
      <w:r>
        <w:rPr>
          <w:b/>
        </w:rPr>
        <w:t xml:space="preserve">Using </w:t>
      </w:r>
      <w:r w:rsidRPr="00C975B2">
        <w:rPr>
          <w:b/>
        </w:rPr>
        <w:t>Percentage</w:t>
      </w:r>
      <w:r>
        <w:rPr>
          <w:b/>
        </w:rPr>
        <w:t xml:space="preserve"> Rate</w:t>
      </w:r>
      <w:r w:rsidRPr="00C975B2">
        <w:rPr>
          <w:b/>
        </w:rPr>
        <w:t xml:space="preserve"> Example: </w:t>
      </w:r>
      <w:r>
        <w:rPr>
          <w:b/>
        </w:rPr>
        <w:br/>
      </w:r>
      <w:r w:rsidRPr="00057A5B">
        <w:rPr>
          <w:i/>
        </w:rPr>
        <w:t>Dollar</w:t>
      </w:r>
      <w:r>
        <w:rPr>
          <w:i/>
        </w:rPr>
        <w:t xml:space="preserve"> value ranges are equal to zero and not being applied.</w:t>
      </w:r>
      <w:r w:rsidR="009A752E">
        <w:rPr>
          <w:i/>
        </w:rPr>
        <w:br/>
      </w:r>
      <w:r w:rsidRPr="009A752E">
        <w:rPr>
          <w:i/>
        </w:rPr>
        <w:t xml:space="preserve">Percentage values are set to 100% below </w:t>
      </w:r>
      <w:r w:rsidRPr="009A752E">
        <w:rPr>
          <w:i/>
          <w:highlight w:val="yellow"/>
        </w:rPr>
        <w:t>Expected Cost value</w:t>
      </w:r>
      <w:r w:rsidRPr="009A752E">
        <w:rPr>
          <w:i/>
        </w:rPr>
        <w:t xml:space="preserve"> and 30% above (.30 x 150) </w:t>
      </w:r>
      <w:r w:rsidRPr="009A752E">
        <w:rPr>
          <w:i/>
          <w:highlight w:val="yellow"/>
        </w:rPr>
        <w:t>Expected Average value</w:t>
      </w:r>
      <w:r w:rsidRPr="009A752E">
        <w:rPr>
          <w:i/>
        </w:rPr>
        <w:t xml:space="preserve"> $150 (zero).</w:t>
      </w:r>
      <w:r w:rsidRPr="009A752E">
        <w:rPr>
          <w:b/>
          <w:i/>
        </w:rPr>
        <w:br/>
      </w:r>
      <w:r>
        <w:rPr>
          <w:noProof/>
        </w:rPr>
        <w:drawing>
          <wp:inline distT="0" distB="0" distL="0" distR="0" wp14:anchorId="694294F7" wp14:editId="3A59B128">
            <wp:extent cx="3324225" cy="12663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2406" cy="12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A752E">
        <w:rPr>
          <w:b/>
        </w:rPr>
        <w:t xml:space="preserve">3) </w:t>
      </w:r>
      <w:r w:rsidRPr="00994683">
        <w:rPr>
          <w:b/>
        </w:rPr>
        <w:t>Dynamic Expected Cost</w:t>
      </w:r>
      <w:r>
        <w:br/>
        <w:t>This is used when you want to allow for variability in the fee entry by the carrier. When checked on, you enter in the % Below value (100% to equal zero) and % Above value ranges.</w:t>
      </w:r>
      <w:r w:rsidR="009A752E">
        <w:t xml:space="preserve"> Expected cost remains blank. </w:t>
      </w:r>
      <w:r w:rsidRPr="00994683">
        <w:rPr>
          <w:b/>
        </w:rPr>
        <w:t>For example</w:t>
      </w:r>
      <w:r>
        <w:t xml:space="preserve">: Let’s say you configured fuel to use </w:t>
      </w:r>
      <w:r w:rsidRPr="00994683">
        <w:rPr>
          <w:i/>
        </w:rPr>
        <w:t>Dynamic Expected Cost</w:t>
      </w:r>
      <w:r>
        <w:t xml:space="preserve">. If your settings were 100% below value and 10% high value and the actual fuel cost for a given load was $225.00. This configuration will allow for $0 on the below value and will allow up to $247.50 on the high value. </w:t>
      </w:r>
    </w:p>
    <w:p w14:paraId="0B8D80CE" w14:textId="77777777" w:rsidR="00C03E70" w:rsidRDefault="00C03E70" w:rsidP="00A475FC">
      <w:r>
        <w:rPr>
          <w:noProof/>
        </w:rPr>
        <w:drawing>
          <wp:inline distT="0" distB="0" distL="0" distR="0" wp14:anchorId="1DEE14D0" wp14:editId="51A13BC4">
            <wp:extent cx="3662417" cy="1272208"/>
            <wp:effectExtent l="19050" t="19050" r="14605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9746" cy="1285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C03E70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EAD580" w14:textId="77777777" w:rsidR="00564C8B" w:rsidRDefault="00564C8B" w:rsidP="00A626D6">
      <w:pPr>
        <w:spacing w:after="0" w:line="240" w:lineRule="auto"/>
      </w:pPr>
      <w:r>
        <w:separator/>
      </w:r>
    </w:p>
  </w:endnote>
  <w:endnote w:type="continuationSeparator" w:id="0">
    <w:p w14:paraId="30B25847" w14:textId="77777777" w:rsidR="00564C8B" w:rsidRDefault="00564C8B" w:rsidP="00A62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445F3" w14:textId="24DCADBA" w:rsidR="00F533FD" w:rsidRPr="00F533FD" w:rsidRDefault="00F533FD" w:rsidP="00F533FD">
    <w:pPr>
      <w:tabs>
        <w:tab w:val="center" w:pos="4320"/>
        <w:tab w:val="right" w:pos="8640"/>
      </w:tabs>
      <w:spacing w:after="0" w:line="240" w:lineRule="auto"/>
      <w:ind w:right="360"/>
      <w:jc w:val="center"/>
    </w:pPr>
    <w:r w:rsidRPr="0A5A7E96">
      <w:fldChar w:fldCharType="begin"/>
    </w:r>
    <w:r w:rsidRPr="00997706">
      <w:rPr>
        <w:rFonts w:ascii="Verdana" w:eastAsia="Times New Roman" w:hAnsi="Verdana" w:cs="Times New Roman"/>
        <w:sz w:val="16"/>
        <w:szCs w:val="16"/>
      </w:rPr>
      <w:instrText xml:space="preserve"> DATE \@ "dddd, MMMM d, yyyy" </w:instrText>
    </w:r>
    <w:r w:rsidRPr="0A5A7E96">
      <w:rPr>
        <w:rFonts w:ascii="Verdana" w:eastAsia="Times New Roman" w:hAnsi="Verdana" w:cs="Times New Roman"/>
        <w:sz w:val="16"/>
        <w:szCs w:val="16"/>
      </w:rPr>
      <w:fldChar w:fldCharType="separate"/>
    </w:r>
    <w:r w:rsidR="00012608">
      <w:rPr>
        <w:rFonts w:ascii="Verdana" w:eastAsia="Times New Roman" w:hAnsi="Verdana" w:cs="Times New Roman"/>
        <w:noProof/>
        <w:sz w:val="16"/>
        <w:szCs w:val="16"/>
      </w:rPr>
      <w:t>Monday, December 21, 2020</w:t>
    </w:r>
    <w:r w:rsidRPr="0A5A7E96">
      <w:fldChar w:fldCharType="end"/>
    </w:r>
    <w:r w:rsidRPr="00997706">
      <w:rPr>
        <w:rFonts w:ascii="Verdana" w:eastAsia="Times New Roman" w:hAnsi="Verdana" w:cs="Times New Roman"/>
        <w:sz w:val="16"/>
        <w:szCs w:val="16"/>
      </w:rPr>
      <w:t xml:space="preserve"> </w:t>
    </w:r>
    <w:r>
      <w:rPr>
        <w:rFonts w:ascii="Verdana" w:eastAsia="Times New Roman" w:hAnsi="Verdana" w:cs="Times New Roman"/>
        <w:sz w:val="16"/>
        <w:szCs w:val="16"/>
      </w:rPr>
      <w:tab/>
      <w:t xml:space="preserve">      </w:t>
    </w:r>
    <w:r w:rsidRPr="00997706">
      <w:rPr>
        <w:rFonts w:ascii="Verdana" w:eastAsia="Times New Roman" w:hAnsi="Verdana" w:cs="Times New Roman"/>
        <w:sz w:val="16"/>
        <w:szCs w:val="16"/>
      </w:rPr>
      <w:t xml:space="preserve">      </w:t>
    </w:r>
    <w:r w:rsidRPr="00D9148D">
      <w:rPr>
        <w:rFonts w:ascii="Verdana" w:eastAsia="Times New Roman" w:hAnsi="Verdana" w:cs="Times New Roman"/>
        <w:sz w:val="16"/>
        <w:szCs w:val="16"/>
      </w:rPr>
      <w:t xml:space="preserve">© Next Generation Logistics 2017 - </w:t>
    </w:r>
    <w:r w:rsidRPr="0A5A7E96">
      <w:rPr>
        <w:rFonts w:ascii="Verdana" w:eastAsia="Times New Roman" w:hAnsi="Verdana" w:cs="Times New Roman"/>
        <w:sz w:val="16"/>
        <w:szCs w:val="16"/>
      </w:rPr>
      <w:t>CONFIDENTIAL INTERNAL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600EE9" w14:textId="77777777" w:rsidR="00564C8B" w:rsidRDefault="00564C8B" w:rsidP="00A626D6">
      <w:pPr>
        <w:spacing w:after="0" w:line="240" w:lineRule="auto"/>
      </w:pPr>
      <w:r>
        <w:separator/>
      </w:r>
    </w:p>
  </w:footnote>
  <w:footnote w:type="continuationSeparator" w:id="0">
    <w:p w14:paraId="68A0353A" w14:textId="77777777" w:rsidR="00564C8B" w:rsidRDefault="00564C8B" w:rsidP="00A626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Ind w:w="1152" w:type="dxa"/>
      <w:tblLook w:val="01E0" w:firstRow="1" w:lastRow="1" w:firstColumn="1" w:lastColumn="1" w:noHBand="0" w:noVBand="0"/>
    </w:tblPr>
    <w:tblGrid>
      <w:gridCol w:w="8208"/>
      <w:gridCol w:w="1152"/>
    </w:tblGrid>
    <w:tr w:rsidR="00085EBB" w:rsidRPr="007B4687" w14:paraId="6CED5095" w14:textId="77777777" w:rsidTr="00E775B9">
      <w:tc>
        <w:tcPr>
          <w:tcW w:w="0" w:type="auto"/>
          <w:tcBorders>
            <w:right w:val="single" w:sz="6" w:space="0" w:color="000000" w:themeColor="text1"/>
          </w:tcBorders>
        </w:tcPr>
        <w:p w14:paraId="6B1186E7" w14:textId="77777777" w:rsidR="00085EBB" w:rsidRPr="007B4687" w:rsidRDefault="00085EBB" w:rsidP="00E775B9">
          <w:pPr>
            <w:pStyle w:val="Header"/>
            <w:jc w:val="right"/>
            <w:rPr>
              <w:rFonts w:ascii="Calibri" w:hAnsi="Calibri"/>
            </w:rPr>
          </w:pPr>
          <w:r w:rsidRPr="0A5A7E96">
            <w:rPr>
              <w:rFonts w:ascii="Calibri" w:hAnsi="Calibri"/>
            </w:rPr>
            <w:t>Next Generation Logistics, Inc.</w:t>
          </w:r>
        </w:p>
        <w:p w14:paraId="1A714E85" w14:textId="77777777" w:rsidR="00085EBB" w:rsidRPr="007B4687" w:rsidRDefault="007D1F5C" w:rsidP="00AB4A7B">
          <w:pPr>
            <w:pStyle w:val="Header"/>
            <w:jc w:val="right"/>
            <w:rPr>
              <w:rFonts w:ascii="Calibri" w:hAnsi="Calibri"/>
              <w:b/>
              <w:bCs/>
            </w:rPr>
          </w:pPr>
          <w:r w:rsidRPr="007D1F5C">
            <w:rPr>
              <w:rFonts w:ascii="Calibri" w:hAnsi="Calibri"/>
              <w:b/>
              <w:bCs/>
            </w:rPr>
            <w:t xml:space="preserve">Carrier Accessorial Fee Data Entry and Tolerance Validation Rules </w:t>
          </w:r>
          <w:r w:rsidR="00085EBB">
            <w:rPr>
              <w:rFonts w:ascii="Calibri" w:hAnsi="Calibri"/>
              <w:b/>
              <w:bCs/>
            </w:rPr>
            <w:t xml:space="preserve">v-8.0 </w:t>
          </w:r>
          <w:r w:rsidR="00085EBB" w:rsidRPr="0A5A7E96">
            <w:rPr>
              <w:rFonts w:ascii="Calibri" w:hAnsi="Calibri"/>
              <w:b/>
              <w:bCs/>
            </w:rPr>
            <w:t xml:space="preserve"> </w:t>
          </w:r>
        </w:p>
      </w:tc>
      <w:tc>
        <w:tcPr>
          <w:tcW w:w="1152" w:type="dxa"/>
          <w:tcBorders>
            <w:left w:val="single" w:sz="6" w:space="0" w:color="000000" w:themeColor="text1"/>
          </w:tcBorders>
        </w:tcPr>
        <w:p w14:paraId="07DE0EE0" w14:textId="77777777" w:rsidR="00085EBB" w:rsidRPr="007B4687" w:rsidRDefault="00085EBB" w:rsidP="00E775B9">
          <w:pPr>
            <w:pStyle w:val="Header"/>
            <w:rPr>
              <w:rFonts w:ascii="Calibri" w:hAnsi="Calibri"/>
            </w:rPr>
          </w:pPr>
          <w:r w:rsidRPr="0A5A7E96">
            <w:rPr>
              <w:rFonts w:ascii="Calibri" w:hAnsi="Calibri"/>
            </w:rPr>
            <w:t xml:space="preserve">Page </w:t>
          </w:r>
          <w:r w:rsidRPr="0A5A7E96">
            <w:rPr>
              <w:rFonts w:ascii="Calibri" w:hAnsi="Calibri"/>
              <w:noProof/>
            </w:rPr>
            <w:fldChar w:fldCharType="begin"/>
          </w:r>
          <w:r w:rsidRPr="0A5A7E96">
            <w:rPr>
              <w:rFonts w:ascii="Calibri" w:hAnsi="Calibri"/>
              <w:noProof/>
            </w:rPr>
            <w:instrText xml:space="preserve"> PAGE   \* MERGEFORMAT </w:instrText>
          </w:r>
          <w:r w:rsidRPr="0A5A7E96">
            <w:rPr>
              <w:rFonts w:ascii="Calibri" w:hAnsi="Calibri"/>
              <w:noProof/>
            </w:rPr>
            <w:fldChar w:fldCharType="separate"/>
          </w:r>
          <w:r w:rsidR="00C03E70">
            <w:rPr>
              <w:rFonts w:ascii="Calibri" w:hAnsi="Calibri"/>
              <w:noProof/>
            </w:rPr>
            <w:t>3</w:t>
          </w:r>
          <w:r w:rsidRPr="0A5A7E96">
            <w:rPr>
              <w:rFonts w:ascii="Calibri" w:hAnsi="Calibri"/>
              <w:noProof/>
            </w:rPr>
            <w:fldChar w:fldCharType="end"/>
          </w:r>
        </w:p>
      </w:tc>
    </w:tr>
  </w:tbl>
  <w:p w14:paraId="67396095" w14:textId="77777777" w:rsidR="00A626D6" w:rsidRDefault="00A626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74C66"/>
    <w:multiLevelType w:val="hybridMultilevel"/>
    <w:tmpl w:val="244E19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D6563CE2">
      <w:start w:val="1"/>
      <w:numFmt w:val="bullet"/>
      <w:lvlText w:val=""/>
      <w:lvlJc w:val="left"/>
      <w:pPr>
        <w:ind w:left="2160" w:hanging="360"/>
      </w:pPr>
      <w:rPr>
        <w:rFonts w:ascii="Wingdings" w:hAnsi="Wingdings" w:hint="default"/>
      </w:rPr>
    </w:lvl>
    <w:lvl w:ilvl="3" w:tplc="D6563CE2">
      <w:start w:val="1"/>
      <w:numFmt w:val="bullet"/>
      <w:lvlText w:val=""/>
      <w:lvlJc w:val="left"/>
      <w:pPr>
        <w:ind w:left="2880" w:hanging="360"/>
      </w:pPr>
      <w:rPr>
        <w:rFonts w:ascii="Wingdings" w:hAnsi="Wingdings" w:hint="default"/>
      </w:rPr>
    </w:lvl>
    <w:lvl w:ilvl="4" w:tplc="2618EE64">
      <w:start w:val="1"/>
      <w:numFmt w:val="bullet"/>
      <w:lvlText w:val=""/>
      <w:lvlJc w:val="left"/>
      <w:pPr>
        <w:ind w:left="3600" w:hanging="360"/>
      </w:pPr>
      <w:rPr>
        <w:rFonts w:ascii="Wingdings" w:hAnsi="Wingdings" w:hint="default"/>
      </w:rPr>
    </w:lvl>
    <w:lvl w:ilvl="5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C2A19"/>
    <w:multiLevelType w:val="hybridMultilevel"/>
    <w:tmpl w:val="764EF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4609F"/>
    <w:multiLevelType w:val="hybridMultilevel"/>
    <w:tmpl w:val="12B04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8223ED"/>
    <w:multiLevelType w:val="hybridMultilevel"/>
    <w:tmpl w:val="2A94F60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73C2A"/>
    <w:multiLevelType w:val="hybridMultilevel"/>
    <w:tmpl w:val="AD4CC51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76744"/>
    <w:multiLevelType w:val="hybridMultilevel"/>
    <w:tmpl w:val="4800A9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2618EE64">
      <w:start w:val="1"/>
      <w:numFmt w:val="bullet"/>
      <w:lvlText w:val=""/>
      <w:lvlJc w:val="left"/>
      <w:pPr>
        <w:ind w:left="3600" w:hanging="360"/>
      </w:pPr>
      <w:rPr>
        <w:rFonts w:ascii="Wingdings" w:hAnsi="Wingdings" w:hint="default"/>
      </w:rPr>
    </w:lvl>
    <w:lvl w:ilvl="5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576354"/>
    <w:multiLevelType w:val="hybridMultilevel"/>
    <w:tmpl w:val="AE707F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AD43EC"/>
    <w:multiLevelType w:val="hybridMultilevel"/>
    <w:tmpl w:val="34808B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D652E"/>
    <w:multiLevelType w:val="hybridMultilevel"/>
    <w:tmpl w:val="6A34B8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2618EE64">
      <w:start w:val="1"/>
      <w:numFmt w:val="bullet"/>
      <w:lvlText w:val="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D7003"/>
    <w:multiLevelType w:val="hybridMultilevel"/>
    <w:tmpl w:val="A4584E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D6563CE2">
      <w:start w:val="1"/>
      <w:numFmt w:val="bullet"/>
      <w:lvlText w:val="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7B3973"/>
    <w:multiLevelType w:val="hybridMultilevel"/>
    <w:tmpl w:val="8FCE5B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D6563CE2">
      <w:start w:val="1"/>
      <w:numFmt w:val="bullet"/>
      <w:lvlText w:val="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31E57"/>
    <w:multiLevelType w:val="hybridMultilevel"/>
    <w:tmpl w:val="CE42512A"/>
    <w:lvl w:ilvl="0" w:tplc="AFC22FF4">
      <w:start w:val="1"/>
      <w:numFmt w:val="decimal"/>
      <w:lvlText w:val="%1."/>
      <w:lvlJc w:val="left"/>
      <w:pPr>
        <w:ind w:left="360" w:hanging="360"/>
      </w:pPr>
      <w:rPr>
        <w:rFonts w:ascii="Arial" w:hAnsi="Arial" w:cs="Times New Roman" w:hint="default"/>
      </w:r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C13C80"/>
    <w:multiLevelType w:val="hybridMultilevel"/>
    <w:tmpl w:val="815C34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B525DF"/>
    <w:multiLevelType w:val="hybridMultilevel"/>
    <w:tmpl w:val="B56ED5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6563CE2">
      <w:start w:val="1"/>
      <w:numFmt w:val="bullet"/>
      <w:lvlText w:val=""/>
      <w:lvlJc w:val="left"/>
      <w:pPr>
        <w:ind w:left="1440" w:hanging="360"/>
      </w:pPr>
      <w:rPr>
        <w:rFonts w:ascii="Wingdings" w:hAnsi="Wingdings" w:hint="default"/>
      </w:rPr>
    </w:lvl>
    <w:lvl w:ilvl="2" w:tplc="D6563CE2">
      <w:start w:val="1"/>
      <w:numFmt w:val="bullet"/>
      <w:lvlText w:val=""/>
      <w:lvlJc w:val="left"/>
      <w:pPr>
        <w:ind w:left="2160" w:hanging="360"/>
      </w:pPr>
      <w:rPr>
        <w:rFonts w:ascii="Wingdings" w:hAnsi="Wingdings" w:hint="default"/>
      </w:rPr>
    </w:lvl>
    <w:lvl w:ilvl="3" w:tplc="2618EE64">
      <w:start w:val="1"/>
      <w:numFmt w:val="bullet"/>
      <w:lvlText w:val="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FE12D9"/>
    <w:multiLevelType w:val="hybridMultilevel"/>
    <w:tmpl w:val="1EE835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2618EE64">
      <w:start w:val="1"/>
      <w:numFmt w:val="bullet"/>
      <w:lvlText w:val="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944369"/>
    <w:multiLevelType w:val="hybridMultilevel"/>
    <w:tmpl w:val="8B4447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9E3F73"/>
    <w:multiLevelType w:val="hybridMultilevel"/>
    <w:tmpl w:val="520293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D6563CE2">
      <w:start w:val="1"/>
      <w:numFmt w:val="bullet"/>
      <w:lvlText w:val=""/>
      <w:lvlJc w:val="left"/>
      <w:pPr>
        <w:ind w:left="2160" w:hanging="360"/>
      </w:pPr>
      <w:rPr>
        <w:rFonts w:ascii="Wingdings" w:hAnsi="Wingdings" w:hint="default"/>
      </w:rPr>
    </w:lvl>
    <w:lvl w:ilvl="3" w:tplc="2618EE64">
      <w:start w:val="1"/>
      <w:numFmt w:val="bullet"/>
      <w:lvlText w:val="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753267"/>
    <w:multiLevelType w:val="hybridMultilevel"/>
    <w:tmpl w:val="94A8730E"/>
    <w:lvl w:ilvl="0" w:tplc="ABDCCB1E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913520"/>
    <w:multiLevelType w:val="hybridMultilevel"/>
    <w:tmpl w:val="ED3A55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3B40EC"/>
    <w:multiLevelType w:val="hybridMultilevel"/>
    <w:tmpl w:val="BB02EC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540036">
      <w:start w:val="1"/>
      <w:numFmt w:val="bullet"/>
      <w:lvlText w:val=""/>
      <w:lvlJc w:val="left"/>
      <w:pPr>
        <w:ind w:left="1440" w:hanging="360"/>
      </w:pPr>
      <w:rPr>
        <w:rFonts w:ascii="Wingdings 2" w:hAnsi="Wingdings 2" w:hint="default"/>
      </w:rPr>
    </w:lvl>
    <w:lvl w:ilvl="2" w:tplc="D6563CE2">
      <w:start w:val="1"/>
      <w:numFmt w:val="bullet"/>
      <w:lvlText w:val=""/>
      <w:lvlJc w:val="left"/>
      <w:pPr>
        <w:ind w:left="2160" w:hanging="360"/>
      </w:pPr>
      <w:rPr>
        <w:rFonts w:ascii="Wingdings" w:hAnsi="Wingdings" w:hint="default"/>
      </w:rPr>
    </w:lvl>
    <w:lvl w:ilvl="3" w:tplc="D6563CE2">
      <w:start w:val="1"/>
      <w:numFmt w:val="bullet"/>
      <w:lvlText w:val=""/>
      <w:lvlJc w:val="left"/>
      <w:pPr>
        <w:ind w:left="2880" w:hanging="360"/>
      </w:pPr>
      <w:rPr>
        <w:rFonts w:ascii="Wingdings" w:hAnsi="Wingdings" w:hint="default"/>
      </w:rPr>
    </w:lvl>
    <w:lvl w:ilvl="4" w:tplc="2618EE64">
      <w:start w:val="1"/>
      <w:numFmt w:val="bullet"/>
      <w:lvlText w:val=""/>
      <w:lvlJc w:val="left"/>
      <w:pPr>
        <w:ind w:left="3600" w:hanging="360"/>
      </w:pPr>
      <w:rPr>
        <w:rFonts w:ascii="Wingdings" w:hAnsi="Wingdings" w:hint="default"/>
      </w:rPr>
    </w:lvl>
    <w:lvl w:ilvl="5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C63C4E"/>
    <w:multiLevelType w:val="hybridMultilevel"/>
    <w:tmpl w:val="7E8AF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4433F2"/>
    <w:multiLevelType w:val="hybridMultilevel"/>
    <w:tmpl w:val="2E502B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6686E"/>
    <w:multiLevelType w:val="hybridMultilevel"/>
    <w:tmpl w:val="3D80B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6"/>
  </w:num>
  <w:num w:numId="3">
    <w:abstractNumId w:val="19"/>
  </w:num>
  <w:num w:numId="4">
    <w:abstractNumId w:val="9"/>
  </w:num>
  <w:num w:numId="5">
    <w:abstractNumId w:val="18"/>
  </w:num>
  <w:num w:numId="6">
    <w:abstractNumId w:val="5"/>
  </w:num>
  <w:num w:numId="7">
    <w:abstractNumId w:val="8"/>
  </w:num>
  <w:num w:numId="8">
    <w:abstractNumId w:val="12"/>
  </w:num>
  <w:num w:numId="9">
    <w:abstractNumId w:val="15"/>
  </w:num>
  <w:num w:numId="10">
    <w:abstractNumId w:val="10"/>
  </w:num>
  <w:num w:numId="11">
    <w:abstractNumId w:val="14"/>
  </w:num>
  <w:num w:numId="12">
    <w:abstractNumId w:val="6"/>
  </w:num>
  <w:num w:numId="13">
    <w:abstractNumId w:val="7"/>
  </w:num>
  <w:num w:numId="14">
    <w:abstractNumId w:val="0"/>
  </w:num>
  <w:num w:numId="15">
    <w:abstractNumId w:val="20"/>
  </w:num>
  <w:num w:numId="16">
    <w:abstractNumId w:val="2"/>
  </w:num>
  <w:num w:numId="17">
    <w:abstractNumId w:val="2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1HProject" w:val="..\Dynamics TMS.d2h"/>
  </w:docVars>
  <w:rsids>
    <w:rsidRoot w:val="004B7696"/>
    <w:rsid w:val="00012608"/>
    <w:rsid w:val="000168E2"/>
    <w:rsid w:val="00025314"/>
    <w:rsid w:val="00071BE0"/>
    <w:rsid w:val="00083A0A"/>
    <w:rsid w:val="00085EBB"/>
    <w:rsid w:val="000A6CF1"/>
    <w:rsid w:val="000E7933"/>
    <w:rsid w:val="00104FB4"/>
    <w:rsid w:val="00126CA0"/>
    <w:rsid w:val="00132096"/>
    <w:rsid w:val="001323E3"/>
    <w:rsid w:val="00136A96"/>
    <w:rsid w:val="001705EF"/>
    <w:rsid w:val="00206749"/>
    <w:rsid w:val="0024396F"/>
    <w:rsid w:val="002444B6"/>
    <w:rsid w:val="002D00EE"/>
    <w:rsid w:val="002D3AB1"/>
    <w:rsid w:val="002F6150"/>
    <w:rsid w:val="00304D4D"/>
    <w:rsid w:val="00311D4C"/>
    <w:rsid w:val="00382156"/>
    <w:rsid w:val="003A3046"/>
    <w:rsid w:val="003B3147"/>
    <w:rsid w:val="003E2AFC"/>
    <w:rsid w:val="003E2D21"/>
    <w:rsid w:val="00411BC5"/>
    <w:rsid w:val="00437BAB"/>
    <w:rsid w:val="00466127"/>
    <w:rsid w:val="00484D5C"/>
    <w:rsid w:val="00486699"/>
    <w:rsid w:val="00496814"/>
    <w:rsid w:val="004B7696"/>
    <w:rsid w:val="004C4C0B"/>
    <w:rsid w:val="004E209A"/>
    <w:rsid w:val="004E5AAA"/>
    <w:rsid w:val="005223FB"/>
    <w:rsid w:val="005302F7"/>
    <w:rsid w:val="0054419A"/>
    <w:rsid w:val="00564C8B"/>
    <w:rsid w:val="00576809"/>
    <w:rsid w:val="0058183A"/>
    <w:rsid w:val="005A2D67"/>
    <w:rsid w:val="005A2DA0"/>
    <w:rsid w:val="005A3FD9"/>
    <w:rsid w:val="005D4C5F"/>
    <w:rsid w:val="005E0824"/>
    <w:rsid w:val="005E0AED"/>
    <w:rsid w:val="00676BBA"/>
    <w:rsid w:val="006D75D5"/>
    <w:rsid w:val="007067AD"/>
    <w:rsid w:val="00724F27"/>
    <w:rsid w:val="00746381"/>
    <w:rsid w:val="0075617A"/>
    <w:rsid w:val="00766C53"/>
    <w:rsid w:val="00766D7B"/>
    <w:rsid w:val="00771D41"/>
    <w:rsid w:val="007869E3"/>
    <w:rsid w:val="00787B87"/>
    <w:rsid w:val="007D1F5C"/>
    <w:rsid w:val="0080043E"/>
    <w:rsid w:val="008139DB"/>
    <w:rsid w:val="00836A02"/>
    <w:rsid w:val="00894AFC"/>
    <w:rsid w:val="008B73C8"/>
    <w:rsid w:val="008F4994"/>
    <w:rsid w:val="00911188"/>
    <w:rsid w:val="00943425"/>
    <w:rsid w:val="00993F91"/>
    <w:rsid w:val="009A752E"/>
    <w:rsid w:val="009B3B90"/>
    <w:rsid w:val="009E1D0A"/>
    <w:rsid w:val="009E6853"/>
    <w:rsid w:val="00A475FC"/>
    <w:rsid w:val="00A52C7E"/>
    <w:rsid w:val="00A626D6"/>
    <w:rsid w:val="00A828FB"/>
    <w:rsid w:val="00A8763C"/>
    <w:rsid w:val="00A90577"/>
    <w:rsid w:val="00AB3E91"/>
    <w:rsid w:val="00AB4A7B"/>
    <w:rsid w:val="00AC7428"/>
    <w:rsid w:val="00AD6E1B"/>
    <w:rsid w:val="00B27999"/>
    <w:rsid w:val="00BC0F7A"/>
    <w:rsid w:val="00C03E70"/>
    <w:rsid w:val="00C11FB2"/>
    <w:rsid w:val="00C134CB"/>
    <w:rsid w:val="00C578A6"/>
    <w:rsid w:val="00CE5735"/>
    <w:rsid w:val="00D37AA9"/>
    <w:rsid w:val="00D74BF1"/>
    <w:rsid w:val="00D7762B"/>
    <w:rsid w:val="00D8264B"/>
    <w:rsid w:val="00D875A2"/>
    <w:rsid w:val="00DC09D3"/>
    <w:rsid w:val="00DE6509"/>
    <w:rsid w:val="00DF5850"/>
    <w:rsid w:val="00E053A5"/>
    <w:rsid w:val="00E86DCB"/>
    <w:rsid w:val="00EE6EA2"/>
    <w:rsid w:val="00F001DE"/>
    <w:rsid w:val="00F31722"/>
    <w:rsid w:val="00F33543"/>
    <w:rsid w:val="00F533FD"/>
    <w:rsid w:val="00F94B5C"/>
    <w:rsid w:val="00FC2498"/>
    <w:rsid w:val="00FE03D4"/>
    <w:rsid w:val="00FE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49FBA"/>
  <w15:docId w15:val="{8DE4A917-8E6A-4FAA-AC6B-1D13A6BEB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6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6CF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6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B76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2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6D6"/>
  </w:style>
  <w:style w:type="paragraph" w:styleId="Footer">
    <w:name w:val="footer"/>
    <w:basedOn w:val="Normal"/>
    <w:link w:val="FooterChar"/>
    <w:uiPriority w:val="99"/>
    <w:unhideWhenUsed/>
    <w:rsid w:val="00A62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6D6"/>
  </w:style>
  <w:style w:type="paragraph" w:styleId="BalloonText">
    <w:name w:val="Balloon Text"/>
    <w:basedOn w:val="Normal"/>
    <w:link w:val="BalloonTextChar"/>
    <w:uiPriority w:val="99"/>
    <w:semiHidden/>
    <w:unhideWhenUsed/>
    <w:rsid w:val="00A62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6D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626D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26D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0A6C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0253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7067A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067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1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istides.NGL\AppData\Roaming\Microsoft\Templates\D2H_NOMARGI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D2H_NOMARGIN.dotx</Template>
  <TotalTime>45</TotalTime>
  <Pages>3</Pages>
  <Words>788</Words>
  <Characters>4496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Lauren Van Vleet</dc:creator>
  <cp:lastModifiedBy>Aristides Smith</cp:lastModifiedBy>
  <cp:revision>13</cp:revision>
  <dcterms:created xsi:type="dcterms:W3CDTF">2018-01-18T14:55:00Z</dcterms:created>
  <dcterms:modified xsi:type="dcterms:W3CDTF">2020-12-21T20:03:00Z</dcterms:modified>
</cp:coreProperties>
</file>